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F88" w:rsidRDefault="00BF0F88" w:rsidP="00BF0F88">
      <w:r w:rsidRPr="00F8637B">
        <w:rPr>
          <w:rFonts w:ascii="Cambria" w:eastAsia="MS Mincho" w:hAnsi="Cambria" w:cs="Times New Roman"/>
          <w:noProof/>
        </w:rPr>
        <w:drawing>
          <wp:anchor distT="0" distB="0" distL="114300" distR="114300" simplePos="0" relativeHeight="251659264" behindDoc="1" locked="0" layoutInCell="1" allowOverlap="1" wp14:anchorId="18D46D1D" wp14:editId="286ABBB7">
            <wp:simplePos x="0" y="0"/>
            <wp:positionH relativeFrom="column">
              <wp:posOffset>-912495</wp:posOffset>
            </wp:positionH>
            <wp:positionV relativeFrom="paragraph">
              <wp:posOffset>-855980</wp:posOffset>
            </wp:positionV>
            <wp:extent cx="7785100" cy="153225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TA Letterhead.pdf"/>
                    <pic:cNvPicPr/>
                  </pic:nvPicPr>
                  <pic:blipFill>
                    <a:blip r:embed="rId7">
                      <a:extLst>
                        <a:ext uri="{28A0092B-C50C-407E-A947-70E740481C1C}">
                          <a14:useLocalDpi xmlns:a14="http://schemas.microsoft.com/office/drawing/2010/main" val="0"/>
                        </a:ext>
                      </a:extLst>
                    </a:blip>
                    <a:stretch>
                      <a:fillRect/>
                    </a:stretch>
                  </pic:blipFill>
                  <pic:spPr>
                    <a:xfrm>
                      <a:off x="0" y="0"/>
                      <a:ext cx="7785100" cy="1532255"/>
                    </a:xfrm>
                    <a:prstGeom prst="rect">
                      <a:avLst/>
                    </a:prstGeom>
                  </pic:spPr>
                </pic:pic>
              </a:graphicData>
            </a:graphic>
            <wp14:sizeRelH relativeFrom="page">
              <wp14:pctWidth>0</wp14:pctWidth>
            </wp14:sizeRelH>
            <wp14:sizeRelV relativeFrom="page">
              <wp14:pctHeight>0</wp14:pctHeight>
            </wp14:sizeRelV>
          </wp:anchor>
        </w:drawing>
      </w:r>
      <w:r w:rsidRPr="00F8637B">
        <w:rPr>
          <w:rFonts w:ascii="Cambria" w:eastAsia="MS Mincho" w:hAnsi="Cambria" w:cs="Times New Roman"/>
          <w:noProof/>
        </w:rPr>
        <w:drawing>
          <wp:anchor distT="0" distB="0" distL="114300" distR="114300" simplePos="0" relativeHeight="251660288" behindDoc="1" locked="0" layoutInCell="1" allowOverlap="1" wp14:anchorId="21B02E94" wp14:editId="7EF7A819">
            <wp:simplePos x="0" y="0"/>
            <wp:positionH relativeFrom="column">
              <wp:posOffset>-916940</wp:posOffset>
            </wp:positionH>
            <wp:positionV relativeFrom="paragraph">
              <wp:posOffset>-854075</wp:posOffset>
            </wp:positionV>
            <wp:extent cx="1550035" cy="2006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uamSeal.pdf"/>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50035" cy="2006600"/>
                    </a:xfrm>
                    <a:prstGeom prst="rect">
                      <a:avLst/>
                    </a:prstGeom>
                  </pic:spPr>
                </pic:pic>
              </a:graphicData>
            </a:graphic>
            <wp14:sizeRelH relativeFrom="page">
              <wp14:pctWidth>0</wp14:pctWidth>
            </wp14:sizeRelH>
            <wp14:sizeRelV relativeFrom="page">
              <wp14:pctHeight>0</wp14:pctHeight>
            </wp14:sizeRelV>
          </wp:anchor>
        </w:drawing>
      </w:r>
    </w:p>
    <w:p w:rsidR="00BF0F88" w:rsidRDefault="00BF0F88" w:rsidP="009F762E">
      <w:pPr>
        <w:jc w:val="center"/>
        <w:rPr>
          <w:rFonts w:ascii="Arial" w:hAnsi="Arial"/>
          <w:b/>
          <w:sz w:val="32"/>
        </w:rPr>
      </w:pPr>
    </w:p>
    <w:p w:rsidR="003B6F42" w:rsidRDefault="003B6F42" w:rsidP="009F762E">
      <w:pPr>
        <w:jc w:val="center"/>
        <w:rPr>
          <w:rFonts w:ascii="Garamond" w:hAnsi="Garamond"/>
          <w:b/>
          <w:sz w:val="20"/>
          <w:szCs w:val="20"/>
        </w:rPr>
      </w:pPr>
    </w:p>
    <w:p w:rsidR="006E7F0C" w:rsidRDefault="006E7F0C" w:rsidP="00AC36C2">
      <w:pPr>
        <w:jc w:val="center"/>
        <w:rPr>
          <w:rFonts w:ascii="Garamond" w:hAnsi="Garamond"/>
          <w:b/>
          <w:sz w:val="22"/>
          <w:szCs w:val="22"/>
        </w:rPr>
      </w:pPr>
    </w:p>
    <w:p w:rsidR="003B6F42" w:rsidRPr="006E7F0C" w:rsidRDefault="003B6F42" w:rsidP="00AC36C2">
      <w:pPr>
        <w:jc w:val="center"/>
        <w:rPr>
          <w:rFonts w:ascii="Garamond" w:hAnsi="Garamond"/>
          <w:b/>
          <w:sz w:val="22"/>
          <w:szCs w:val="22"/>
        </w:rPr>
      </w:pPr>
      <w:r w:rsidRPr="006E7F0C">
        <w:rPr>
          <w:rFonts w:ascii="Garamond" w:hAnsi="Garamond"/>
          <w:b/>
          <w:sz w:val="22"/>
          <w:szCs w:val="22"/>
        </w:rPr>
        <w:t>GUAM REGIONAL TRANSIT AUTHORITY</w:t>
      </w:r>
    </w:p>
    <w:p w:rsidR="009F762E" w:rsidRPr="006E7F0C" w:rsidRDefault="009F762E" w:rsidP="00AC36C2">
      <w:pPr>
        <w:jc w:val="center"/>
        <w:rPr>
          <w:rFonts w:ascii="Garamond" w:hAnsi="Garamond"/>
          <w:b/>
          <w:sz w:val="22"/>
          <w:szCs w:val="22"/>
        </w:rPr>
      </w:pPr>
      <w:r w:rsidRPr="006E7F0C">
        <w:rPr>
          <w:rFonts w:ascii="Garamond" w:hAnsi="Garamond"/>
          <w:b/>
          <w:sz w:val="22"/>
          <w:szCs w:val="22"/>
        </w:rPr>
        <w:t>GRTA Paratransit Eligibility Determination</w:t>
      </w:r>
      <w:r w:rsidR="003B6F42" w:rsidRPr="006E7F0C">
        <w:rPr>
          <w:rFonts w:ascii="Garamond" w:hAnsi="Garamond"/>
          <w:b/>
          <w:sz w:val="22"/>
          <w:szCs w:val="22"/>
        </w:rPr>
        <w:t xml:space="preserve"> </w:t>
      </w:r>
      <w:r w:rsidRPr="006E7F0C">
        <w:rPr>
          <w:rFonts w:ascii="Garamond" w:hAnsi="Garamond"/>
          <w:b/>
          <w:sz w:val="22"/>
          <w:szCs w:val="22"/>
        </w:rPr>
        <w:t>Appeal Procedure</w:t>
      </w:r>
    </w:p>
    <w:p w:rsidR="00E517D2" w:rsidRPr="006E7F0C" w:rsidRDefault="00E517D2" w:rsidP="00AC36C2">
      <w:pPr>
        <w:jc w:val="center"/>
        <w:rPr>
          <w:rFonts w:ascii="Garamond" w:hAnsi="Garamond"/>
          <w:sz w:val="22"/>
          <w:szCs w:val="22"/>
        </w:rPr>
      </w:pPr>
    </w:p>
    <w:p w:rsidR="00E517D2" w:rsidRPr="006E7F0C" w:rsidRDefault="00FD2C89" w:rsidP="00434F2C">
      <w:pPr>
        <w:ind w:left="1260" w:hanging="1260"/>
        <w:jc w:val="both"/>
        <w:rPr>
          <w:rFonts w:ascii="Garamond" w:hAnsi="Garamond"/>
          <w:sz w:val="22"/>
          <w:szCs w:val="22"/>
        </w:rPr>
      </w:pPr>
      <w:r w:rsidRPr="006E7F0C">
        <w:rPr>
          <w:rFonts w:ascii="Garamond" w:hAnsi="Garamond"/>
          <w:b/>
          <w:sz w:val="22"/>
          <w:szCs w:val="22"/>
          <w:u w:val="single"/>
        </w:rPr>
        <w:t>Department:</w:t>
      </w:r>
      <w:r w:rsidRPr="006E7F0C">
        <w:rPr>
          <w:rFonts w:ascii="Garamond" w:hAnsi="Garamond"/>
          <w:sz w:val="22"/>
          <w:szCs w:val="22"/>
        </w:rPr>
        <w:t xml:space="preserve"> </w:t>
      </w:r>
      <w:r w:rsidRPr="006E7F0C">
        <w:rPr>
          <w:rFonts w:ascii="Garamond" w:hAnsi="Garamond"/>
          <w:sz w:val="22"/>
          <w:szCs w:val="22"/>
        </w:rPr>
        <w:tab/>
      </w:r>
      <w:r w:rsidR="006E7F0C">
        <w:rPr>
          <w:rFonts w:ascii="Garamond" w:hAnsi="Garamond"/>
          <w:sz w:val="22"/>
          <w:szCs w:val="22"/>
        </w:rPr>
        <w:tab/>
      </w:r>
      <w:r w:rsidRPr="006E7F0C">
        <w:rPr>
          <w:rFonts w:ascii="Garamond" w:hAnsi="Garamond"/>
          <w:sz w:val="22"/>
          <w:szCs w:val="22"/>
        </w:rPr>
        <w:t xml:space="preserve">GRTA </w:t>
      </w:r>
      <w:r w:rsidR="002E672E" w:rsidRPr="006E7F0C">
        <w:rPr>
          <w:rFonts w:ascii="Garamond" w:hAnsi="Garamond"/>
          <w:sz w:val="22"/>
          <w:szCs w:val="22"/>
        </w:rPr>
        <w:t>ADA Paratransit Eligibility Certification</w:t>
      </w:r>
      <w:r w:rsidR="00EB15FC" w:rsidRPr="006E7F0C">
        <w:rPr>
          <w:rFonts w:ascii="Garamond" w:hAnsi="Garamond"/>
          <w:sz w:val="22"/>
          <w:szCs w:val="22"/>
        </w:rPr>
        <w:t xml:space="preserve"> </w:t>
      </w:r>
      <w:r w:rsidR="002E672E" w:rsidRPr="006E7F0C">
        <w:rPr>
          <w:rFonts w:ascii="Garamond" w:hAnsi="Garamond"/>
          <w:sz w:val="22"/>
          <w:szCs w:val="22"/>
        </w:rPr>
        <w:t>Section</w:t>
      </w:r>
    </w:p>
    <w:p w:rsidR="00FD2C89" w:rsidRPr="006E7F0C" w:rsidRDefault="00FD2C89" w:rsidP="00434F2C">
      <w:pPr>
        <w:jc w:val="both"/>
        <w:rPr>
          <w:rFonts w:ascii="Garamond" w:hAnsi="Garamond"/>
          <w:b/>
          <w:sz w:val="22"/>
          <w:szCs w:val="22"/>
        </w:rPr>
      </w:pPr>
    </w:p>
    <w:p w:rsidR="00FD2C89" w:rsidRPr="006E7F0C" w:rsidRDefault="00FD2C89" w:rsidP="006E7F0C">
      <w:pPr>
        <w:ind w:left="1440" w:hanging="1440"/>
        <w:jc w:val="both"/>
        <w:rPr>
          <w:rFonts w:ascii="Garamond" w:hAnsi="Garamond"/>
          <w:b/>
          <w:sz w:val="22"/>
          <w:szCs w:val="22"/>
          <w:u w:val="single"/>
        </w:rPr>
      </w:pPr>
      <w:r w:rsidRPr="006E7F0C">
        <w:rPr>
          <w:rFonts w:ascii="Garamond" w:hAnsi="Garamond"/>
          <w:b/>
          <w:sz w:val="22"/>
          <w:szCs w:val="22"/>
          <w:u w:val="single"/>
        </w:rPr>
        <w:t>Scope:</w:t>
      </w:r>
      <w:r w:rsidR="00365578" w:rsidRPr="006E7F0C">
        <w:rPr>
          <w:rFonts w:ascii="Garamond" w:hAnsi="Garamond"/>
          <w:b/>
          <w:sz w:val="22"/>
          <w:szCs w:val="22"/>
        </w:rPr>
        <w:t xml:space="preserve"> </w:t>
      </w:r>
      <w:r w:rsidR="00365578" w:rsidRPr="006E7F0C">
        <w:rPr>
          <w:rFonts w:ascii="Garamond" w:hAnsi="Garamond"/>
          <w:b/>
          <w:sz w:val="22"/>
          <w:szCs w:val="22"/>
        </w:rPr>
        <w:tab/>
      </w:r>
      <w:r w:rsidR="00EB15FC" w:rsidRPr="006E7F0C">
        <w:rPr>
          <w:rFonts w:ascii="Garamond" w:hAnsi="Garamond"/>
          <w:sz w:val="22"/>
          <w:szCs w:val="22"/>
        </w:rPr>
        <w:t>This procedure applies to GRTA</w:t>
      </w:r>
      <w:r w:rsidR="002E0A8D" w:rsidRPr="006E7F0C">
        <w:rPr>
          <w:rFonts w:ascii="Garamond" w:hAnsi="Garamond"/>
          <w:sz w:val="22"/>
          <w:szCs w:val="22"/>
        </w:rPr>
        <w:t xml:space="preserve"> ADA Paratransit Eligibility Certification Section, paratransit applicants who were found not eligible for paratransit or found eligible with specific conditions who are seeking appeals of those decisions,</w:t>
      </w:r>
      <w:r w:rsidR="00D82554" w:rsidRPr="006E7F0C">
        <w:rPr>
          <w:rFonts w:ascii="Garamond" w:hAnsi="Garamond"/>
          <w:sz w:val="22"/>
          <w:szCs w:val="22"/>
        </w:rPr>
        <w:t xml:space="preserve"> and</w:t>
      </w:r>
      <w:r w:rsidR="002E0A8D" w:rsidRPr="006E7F0C">
        <w:rPr>
          <w:rFonts w:ascii="Garamond" w:hAnsi="Garamond"/>
          <w:sz w:val="22"/>
          <w:szCs w:val="22"/>
        </w:rPr>
        <w:t xml:space="preserve"> GRTA Appeals Panel (the appeals panel shall co</w:t>
      </w:r>
      <w:r w:rsidR="00581247">
        <w:rPr>
          <w:rFonts w:ascii="Garamond" w:hAnsi="Garamond"/>
          <w:sz w:val="22"/>
          <w:szCs w:val="22"/>
        </w:rPr>
        <w:t>nsist of 3</w:t>
      </w:r>
      <w:r w:rsidR="002E0A8D" w:rsidRPr="006E7F0C">
        <w:rPr>
          <w:rFonts w:ascii="Garamond" w:hAnsi="Garamond"/>
          <w:sz w:val="22"/>
          <w:szCs w:val="22"/>
        </w:rPr>
        <w:t xml:space="preserve"> individuals </w:t>
      </w:r>
      <w:r w:rsidR="00581247">
        <w:rPr>
          <w:rFonts w:ascii="Garamond" w:hAnsi="Garamond"/>
          <w:sz w:val="22"/>
          <w:szCs w:val="22"/>
        </w:rPr>
        <w:t xml:space="preserve">: 1. GRTA Executive Manager 2. GRTA Transportation Supervisor 3. GRTA Board of Directors Chairperson)  </w:t>
      </w:r>
    </w:p>
    <w:p w:rsidR="00FD2C89" w:rsidRPr="006E7F0C" w:rsidRDefault="00FD2C89" w:rsidP="00434F2C">
      <w:pPr>
        <w:jc w:val="both"/>
        <w:rPr>
          <w:rFonts w:ascii="Garamond" w:hAnsi="Garamond"/>
          <w:sz w:val="22"/>
          <w:szCs w:val="22"/>
        </w:rPr>
      </w:pPr>
    </w:p>
    <w:p w:rsidR="00FD2C89" w:rsidRPr="006E7F0C" w:rsidRDefault="00FD2C89" w:rsidP="00434F2C">
      <w:pPr>
        <w:ind w:left="1170" w:hanging="1170"/>
        <w:jc w:val="both"/>
        <w:rPr>
          <w:rFonts w:ascii="Garamond" w:hAnsi="Garamond"/>
          <w:sz w:val="22"/>
          <w:szCs w:val="22"/>
        </w:rPr>
      </w:pPr>
      <w:r w:rsidRPr="006E7F0C">
        <w:rPr>
          <w:rFonts w:ascii="Garamond" w:hAnsi="Garamond"/>
          <w:b/>
          <w:sz w:val="22"/>
          <w:szCs w:val="22"/>
          <w:u w:val="single"/>
        </w:rPr>
        <w:t>Purpose:</w:t>
      </w:r>
      <w:r w:rsidR="00365578" w:rsidRPr="006E7F0C">
        <w:rPr>
          <w:rFonts w:ascii="Garamond" w:hAnsi="Garamond"/>
          <w:sz w:val="22"/>
          <w:szCs w:val="22"/>
        </w:rPr>
        <w:tab/>
      </w:r>
      <w:r w:rsidR="006E7F0C">
        <w:rPr>
          <w:rFonts w:ascii="Garamond" w:hAnsi="Garamond"/>
          <w:sz w:val="22"/>
          <w:szCs w:val="22"/>
        </w:rPr>
        <w:tab/>
      </w:r>
      <w:r w:rsidR="00365578" w:rsidRPr="006E7F0C">
        <w:rPr>
          <w:rFonts w:ascii="Garamond" w:hAnsi="Garamond"/>
          <w:sz w:val="22"/>
          <w:szCs w:val="22"/>
        </w:rPr>
        <w:t>To establish GRTA paratransit eligibility determination appeal procedure</w:t>
      </w:r>
    </w:p>
    <w:p w:rsidR="00FD2C89" w:rsidRPr="006E7F0C" w:rsidRDefault="00FD2C89" w:rsidP="00434F2C">
      <w:pPr>
        <w:jc w:val="both"/>
        <w:rPr>
          <w:rFonts w:ascii="Garamond" w:hAnsi="Garamond"/>
          <w:sz w:val="22"/>
          <w:szCs w:val="22"/>
        </w:rPr>
      </w:pPr>
    </w:p>
    <w:p w:rsidR="00FD2C89" w:rsidRPr="006E7F0C" w:rsidRDefault="00FD2C89" w:rsidP="00434F2C">
      <w:pPr>
        <w:ind w:left="1260" w:hanging="1260"/>
        <w:jc w:val="both"/>
        <w:rPr>
          <w:rFonts w:ascii="Garamond" w:hAnsi="Garamond"/>
          <w:b/>
          <w:sz w:val="22"/>
          <w:szCs w:val="22"/>
          <w:u w:val="single"/>
        </w:rPr>
      </w:pPr>
      <w:r w:rsidRPr="006E7F0C">
        <w:rPr>
          <w:rFonts w:ascii="Garamond" w:hAnsi="Garamond"/>
          <w:b/>
          <w:sz w:val="22"/>
          <w:szCs w:val="22"/>
          <w:u w:val="single"/>
        </w:rPr>
        <w:t>Procedure:</w:t>
      </w:r>
    </w:p>
    <w:p w:rsidR="00FD2C89" w:rsidRPr="006E7F0C" w:rsidRDefault="00FD2C89" w:rsidP="00434F2C">
      <w:pPr>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 xml:space="preserve">Individuals found not eligible for paratransit or found eligible with specified conditions, may request an appeal of those decisions.  This document outlines the steps for requesting an appeal and the procedure governing the appeal process. </w:t>
      </w:r>
    </w:p>
    <w:p w:rsidR="009F762E" w:rsidRPr="006E7F0C" w:rsidRDefault="009F762E" w:rsidP="00434F2C">
      <w:pPr>
        <w:jc w:val="both"/>
        <w:rPr>
          <w:rFonts w:ascii="Garamond" w:hAnsi="Garamond"/>
          <w:sz w:val="22"/>
          <w:szCs w:val="22"/>
        </w:rPr>
      </w:pPr>
    </w:p>
    <w:p w:rsidR="009F762E" w:rsidRPr="006E7F0C" w:rsidRDefault="009F762E" w:rsidP="006E7F0C">
      <w:pPr>
        <w:ind w:left="1260" w:firstLine="180"/>
        <w:jc w:val="both"/>
        <w:rPr>
          <w:rFonts w:ascii="Garamond" w:hAnsi="Garamond"/>
          <w:b/>
          <w:sz w:val="22"/>
          <w:szCs w:val="22"/>
          <w:u w:val="single"/>
        </w:rPr>
      </w:pPr>
      <w:r w:rsidRPr="006E7F0C">
        <w:rPr>
          <w:rFonts w:ascii="Garamond" w:hAnsi="Garamond"/>
          <w:b/>
          <w:sz w:val="22"/>
          <w:szCs w:val="22"/>
          <w:u w:val="single"/>
        </w:rPr>
        <w:t>Requesting an Appeal</w:t>
      </w:r>
    </w:p>
    <w:p w:rsidR="009F762E" w:rsidRPr="006E7F0C" w:rsidRDefault="009F762E" w:rsidP="00434F2C">
      <w:pPr>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An appeal must be requested in writing within sixty (60) days of the date that the customer receives the decision being appealed.  For purposes of this requirement, GRTA assumes that the individual w</w:t>
      </w:r>
      <w:r w:rsidR="00156DC0" w:rsidRPr="006E7F0C">
        <w:rPr>
          <w:rFonts w:ascii="Garamond" w:hAnsi="Garamond"/>
          <w:sz w:val="22"/>
          <w:szCs w:val="22"/>
        </w:rPr>
        <w:t>ill have received the decision</w:t>
      </w:r>
      <w:r w:rsidRPr="006E7F0C">
        <w:rPr>
          <w:rFonts w:ascii="Garamond" w:hAnsi="Garamond"/>
          <w:sz w:val="22"/>
          <w:szCs w:val="22"/>
        </w:rPr>
        <w:t xml:space="preserve"> no later than five (5) days from the date the decision was mailed.  The sixty-day appeal period begins to run on the sixth day following the date the decision was mailed. </w:t>
      </w:r>
    </w:p>
    <w:p w:rsidR="009F762E" w:rsidRPr="006E7F0C" w:rsidRDefault="009F762E" w:rsidP="00434F2C">
      <w:pPr>
        <w:jc w:val="both"/>
        <w:rPr>
          <w:rFonts w:ascii="Garamond" w:hAnsi="Garamond"/>
          <w:sz w:val="22"/>
          <w:szCs w:val="22"/>
        </w:rPr>
      </w:pPr>
    </w:p>
    <w:p w:rsidR="002E0A8D" w:rsidRPr="006E7F0C" w:rsidRDefault="009F762E" w:rsidP="006E7F0C">
      <w:pPr>
        <w:ind w:left="1260" w:firstLine="180"/>
        <w:jc w:val="both"/>
        <w:rPr>
          <w:rFonts w:ascii="Garamond" w:hAnsi="Garamond"/>
          <w:b/>
          <w:sz w:val="22"/>
          <w:szCs w:val="22"/>
        </w:rPr>
      </w:pPr>
      <w:r w:rsidRPr="006E7F0C">
        <w:rPr>
          <w:rFonts w:ascii="Garamond" w:hAnsi="Garamond"/>
          <w:sz w:val="22"/>
          <w:szCs w:val="22"/>
        </w:rPr>
        <w:t xml:space="preserve">A request for appeal should be mailed to: </w:t>
      </w:r>
      <w:r w:rsidRPr="006E7F0C">
        <w:rPr>
          <w:rFonts w:ascii="Garamond" w:hAnsi="Garamond"/>
          <w:sz w:val="22"/>
          <w:szCs w:val="22"/>
        </w:rPr>
        <w:tab/>
      </w:r>
      <w:r w:rsidRPr="006E7F0C">
        <w:rPr>
          <w:rFonts w:ascii="Garamond" w:hAnsi="Garamond"/>
          <w:b/>
          <w:sz w:val="22"/>
          <w:szCs w:val="22"/>
        </w:rPr>
        <w:t xml:space="preserve">Guam Regional Transit Authority </w:t>
      </w:r>
    </w:p>
    <w:p w:rsidR="009F762E" w:rsidRPr="006E7F0C" w:rsidRDefault="009F762E" w:rsidP="00434F2C">
      <w:pPr>
        <w:ind w:left="1260"/>
        <w:jc w:val="both"/>
        <w:rPr>
          <w:rFonts w:ascii="Garamond" w:hAnsi="Garamond"/>
          <w:b/>
          <w:sz w:val="22"/>
          <w:szCs w:val="22"/>
        </w:rPr>
      </w:pPr>
      <w:r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Pr="006E7F0C">
        <w:rPr>
          <w:rFonts w:ascii="Garamond" w:hAnsi="Garamond"/>
          <w:b/>
          <w:sz w:val="22"/>
          <w:szCs w:val="22"/>
        </w:rPr>
        <w:t xml:space="preserve">P.O. Box </w:t>
      </w:r>
      <w:r w:rsidR="00BB4B59" w:rsidRPr="006E7F0C">
        <w:rPr>
          <w:rFonts w:ascii="Garamond" w:hAnsi="Garamond"/>
          <w:b/>
          <w:sz w:val="22"/>
          <w:szCs w:val="22"/>
        </w:rPr>
        <w:t>2896</w:t>
      </w:r>
    </w:p>
    <w:p w:rsidR="009F762E" w:rsidRPr="006E7F0C" w:rsidRDefault="009F762E" w:rsidP="00434F2C">
      <w:pPr>
        <w:ind w:left="1260" w:hanging="1260"/>
        <w:jc w:val="both"/>
        <w:rPr>
          <w:rFonts w:ascii="Garamond" w:hAnsi="Garamond"/>
          <w:b/>
          <w:sz w:val="22"/>
          <w:szCs w:val="22"/>
        </w:rPr>
      </w:pPr>
      <w:r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002E0A8D" w:rsidRPr="006E7F0C">
        <w:rPr>
          <w:rFonts w:ascii="Garamond" w:hAnsi="Garamond"/>
          <w:b/>
          <w:sz w:val="22"/>
          <w:szCs w:val="22"/>
        </w:rPr>
        <w:tab/>
      </w:r>
      <w:r w:rsidRPr="006E7F0C">
        <w:rPr>
          <w:rFonts w:ascii="Garamond" w:hAnsi="Garamond"/>
          <w:b/>
          <w:sz w:val="22"/>
          <w:szCs w:val="22"/>
        </w:rPr>
        <w:t>Hagatna, GU   96932</w:t>
      </w:r>
    </w:p>
    <w:p w:rsidR="009F762E" w:rsidRPr="006E7F0C" w:rsidRDefault="009F762E" w:rsidP="00434F2C">
      <w:pPr>
        <w:jc w:val="both"/>
        <w:rPr>
          <w:rFonts w:ascii="Garamond" w:hAnsi="Garamond"/>
          <w:b/>
          <w:sz w:val="22"/>
          <w:szCs w:val="22"/>
        </w:rPr>
      </w:pPr>
    </w:p>
    <w:p w:rsidR="009F762E" w:rsidRPr="006E7F0C" w:rsidRDefault="009F762E" w:rsidP="006E7F0C">
      <w:pPr>
        <w:ind w:left="1260" w:firstLine="180"/>
        <w:jc w:val="both"/>
        <w:rPr>
          <w:rFonts w:ascii="Garamond" w:hAnsi="Garamond"/>
          <w:b/>
          <w:sz w:val="22"/>
          <w:szCs w:val="22"/>
        </w:rPr>
      </w:pPr>
      <w:r w:rsidRPr="006E7F0C">
        <w:rPr>
          <w:rFonts w:ascii="Garamond" w:hAnsi="Garamond"/>
          <w:sz w:val="22"/>
          <w:szCs w:val="22"/>
        </w:rPr>
        <w:t>Or faxed to:</w:t>
      </w:r>
      <w:r w:rsidR="00603BEB" w:rsidRPr="006E7F0C">
        <w:rPr>
          <w:rFonts w:ascii="Garamond" w:hAnsi="Garamond"/>
          <w:sz w:val="22"/>
          <w:szCs w:val="22"/>
        </w:rPr>
        <w:t xml:space="preserve">    </w:t>
      </w:r>
      <w:r w:rsidR="002E0A8D" w:rsidRPr="006E7F0C">
        <w:rPr>
          <w:rFonts w:ascii="Garamond" w:hAnsi="Garamond"/>
          <w:sz w:val="22"/>
          <w:szCs w:val="22"/>
        </w:rPr>
        <w:tab/>
      </w:r>
      <w:r w:rsidR="002E0A8D" w:rsidRPr="006E7F0C">
        <w:rPr>
          <w:rFonts w:ascii="Garamond" w:hAnsi="Garamond"/>
          <w:sz w:val="22"/>
          <w:szCs w:val="22"/>
        </w:rPr>
        <w:tab/>
      </w:r>
      <w:r w:rsidR="002E0A8D" w:rsidRPr="006E7F0C">
        <w:rPr>
          <w:rFonts w:ascii="Garamond" w:hAnsi="Garamond"/>
          <w:sz w:val="22"/>
          <w:szCs w:val="22"/>
        </w:rPr>
        <w:tab/>
      </w:r>
      <w:r w:rsidR="002E0A8D" w:rsidRPr="006E7F0C">
        <w:rPr>
          <w:rFonts w:ascii="Garamond" w:hAnsi="Garamond"/>
          <w:sz w:val="22"/>
          <w:szCs w:val="22"/>
        </w:rPr>
        <w:tab/>
      </w:r>
      <w:r w:rsidR="00BB4B59" w:rsidRPr="006E7F0C">
        <w:rPr>
          <w:rFonts w:ascii="Garamond" w:hAnsi="Garamond"/>
          <w:sz w:val="22"/>
          <w:szCs w:val="22"/>
        </w:rPr>
        <w:t>(</w:t>
      </w:r>
      <w:r w:rsidR="00BB4B59" w:rsidRPr="006E7F0C">
        <w:rPr>
          <w:rFonts w:ascii="Garamond" w:hAnsi="Garamond"/>
          <w:b/>
          <w:sz w:val="22"/>
          <w:szCs w:val="22"/>
        </w:rPr>
        <w:t>671) 475-4600</w:t>
      </w:r>
    </w:p>
    <w:p w:rsidR="009F762E" w:rsidRPr="006E7F0C" w:rsidRDefault="009F762E" w:rsidP="00434F2C">
      <w:pPr>
        <w:jc w:val="both"/>
        <w:rPr>
          <w:rFonts w:ascii="Garamond" w:hAnsi="Garamond"/>
          <w:b/>
          <w:sz w:val="22"/>
          <w:szCs w:val="22"/>
        </w:rPr>
      </w:pPr>
    </w:p>
    <w:p w:rsidR="009F762E" w:rsidRPr="006E7F0C" w:rsidRDefault="00156DC0" w:rsidP="006E7F0C">
      <w:pPr>
        <w:ind w:left="1440"/>
        <w:jc w:val="both"/>
        <w:rPr>
          <w:rFonts w:ascii="Garamond" w:hAnsi="Garamond"/>
          <w:sz w:val="22"/>
          <w:szCs w:val="22"/>
        </w:rPr>
      </w:pPr>
      <w:r w:rsidRPr="006E7F0C">
        <w:rPr>
          <w:rFonts w:ascii="Garamond" w:hAnsi="Garamond"/>
          <w:sz w:val="22"/>
          <w:szCs w:val="22"/>
        </w:rPr>
        <w:t>GRTA e</w:t>
      </w:r>
      <w:r w:rsidR="009F762E" w:rsidRPr="006E7F0C">
        <w:rPr>
          <w:rFonts w:ascii="Garamond" w:hAnsi="Garamond"/>
          <w:sz w:val="22"/>
          <w:szCs w:val="22"/>
        </w:rPr>
        <w:t xml:space="preserve">ligibility staff is responsible for receiving requests for appeal of eligibility determinations.  GRTA staff shall promptly advise the Appeals Panel of a request for an appeal hearing, shall coordinate an appeal date and time with the paratransit customer and the Appeals Panel, and shall reserve sufficient time for the hearing. </w:t>
      </w:r>
    </w:p>
    <w:p w:rsidR="009F762E" w:rsidRPr="006E7F0C" w:rsidRDefault="009F762E" w:rsidP="00434F2C">
      <w:pPr>
        <w:ind w:left="1260"/>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 xml:space="preserve">GRTA staff shall notify the individual in writing of the date, time and location of the appeal hearing.  If necessary, GRTA staff shall arrange for the individual to received GRTA transportation to and from the place of hearing at no charge. </w:t>
      </w:r>
    </w:p>
    <w:p w:rsidR="009F762E" w:rsidRPr="006E7F0C" w:rsidRDefault="009F762E" w:rsidP="00434F2C">
      <w:pPr>
        <w:ind w:left="1260"/>
        <w:jc w:val="both"/>
        <w:rPr>
          <w:rFonts w:ascii="Garamond" w:hAnsi="Garamond"/>
          <w:sz w:val="22"/>
          <w:szCs w:val="22"/>
        </w:rPr>
      </w:pPr>
    </w:p>
    <w:p w:rsidR="009F762E" w:rsidRPr="006E7F0C" w:rsidRDefault="009F762E" w:rsidP="006E7F0C">
      <w:pPr>
        <w:ind w:left="1260" w:firstLine="180"/>
        <w:jc w:val="both"/>
        <w:rPr>
          <w:rFonts w:ascii="Garamond" w:hAnsi="Garamond"/>
          <w:b/>
          <w:sz w:val="22"/>
          <w:szCs w:val="22"/>
          <w:u w:val="single"/>
        </w:rPr>
      </w:pPr>
      <w:r w:rsidRPr="006E7F0C">
        <w:rPr>
          <w:rFonts w:ascii="Garamond" w:hAnsi="Garamond"/>
          <w:b/>
          <w:sz w:val="22"/>
          <w:szCs w:val="22"/>
          <w:u w:val="single"/>
        </w:rPr>
        <w:t>Appeal with Hearing</w:t>
      </w:r>
    </w:p>
    <w:p w:rsidR="009F762E" w:rsidRPr="006E7F0C" w:rsidRDefault="009F762E" w:rsidP="00434F2C">
      <w:pPr>
        <w:ind w:left="1260"/>
        <w:jc w:val="both"/>
        <w:rPr>
          <w:rFonts w:ascii="Garamond" w:hAnsi="Garamond"/>
          <w:sz w:val="22"/>
          <w:szCs w:val="22"/>
        </w:rPr>
      </w:pPr>
    </w:p>
    <w:p w:rsidR="009F762E" w:rsidRPr="006E7F0C" w:rsidRDefault="009F762E" w:rsidP="006E7F0C">
      <w:pPr>
        <w:ind w:left="1260" w:firstLine="180"/>
        <w:jc w:val="both"/>
        <w:rPr>
          <w:rFonts w:ascii="Garamond" w:hAnsi="Garamond"/>
          <w:sz w:val="22"/>
          <w:szCs w:val="22"/>
        </w:rPr>
      </w:pPr>
      <w:r w:rsidRPr="006E7F0C">
        <w:rPr>
          <w:rFonts w:ascii="Garamond" w:hAnsi="Garamond"/>
          <w:sz w:val="22"/>
          <w:szCs w:val="22"/>
          <w:u w:val="single"/>
        </w:rPr>
        <w:t>Prior to Hearing</w:t>
      </w:r>
      <w:r w:rsidRPr="006E7F0C">
        <w:rPr>
          <w:rFonts w:ascii="Garamond" w:hAnsi="Garamond"/>
          <w:sz w:val="22"/>
          <w:szCs w:val="22"/>
        </w:rPr>
        <w:t xml:space="preserve">: </w:t>
      </w:r>
    </w:p>
    <w:p w:rsidR="009F762E" w:rsidRPr="006E7F0C" w:rsidRDefault="009F762E" w:rsidP="00434F2C">
      <w:pPr>
        <w:ind w:left="1260"/>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Individuals may request copies of documents and information relating to the decision the customer is appealing.  The Appeals Pa</w:t>
      </w:r>
      <w:r w:rsidR="00156DC0" w:rsidRPr="006E7F0C">
        <w:rPr>
          <w:rFonts w:ascii="Garamond" w:hAnsi="Garamond"/>
          <w:sz w:val="22"/>
          <w:szCs w:val="22"/>
        </w:rPr>
        <w:t>nel or its designee shall promptly</w:t>
      </w:r>
      <w:r w:rsidRPr="006E7F0C">
        <w:rPr>
          <w:rFonts w:ascii="Garamond" w:hAnsi="Garamond"/>
          <w:sz w:val="22"/>
          <w:szCs w:val="22"/>
        </w:rPr>
        <w:t xml:space="preserve"> consider and decide </w:t>
      </w:r>
      <w:r w:rsidRPr="006E7F0C">
        <w:rPr>
          <w:rFonts w:ascii="Garamond" w:hAnsi="Garamond"/>
          <w:sz w:val="22"/>
          <w:szCs w:val="22"/>
        </w:rPr>
        <w:lastRenderedPageBreak/>
        <w:t>all requests for documents and information.  Documents and information shall be provided if the documents or information are relevant to the decision being appealed or are likely to assist the Appeals Pan</w:t>
      </w:r>
      <w:r w:rsidR="00156DC0" w:rsidRPr="006E7F0C">
        <w:rPr>
          <w:rFonts w:ascii="Garamond" w:hAnsi="Garamond"/>
          <w:sz w:val="22"/>
          <w:szCs w:val="22"/>
        </w:rPr>
        <w:t>el</w:t>
      </w:r>
      <w:r w:rsidRPr="006E7F0C">
        <w:rPr>
          <w:rFonts w:ascii="Garamond" w:hAnsi="Garamond"/>
          <w:sz w:val="22"/>
          <w:szCs w:val="22"/>
        </w:rPr>
        <w:t xml:space="preserve"> in deciding the appeal. </w:t>
      </w:r>
    </w:p>
    <w:p w:rsidR="009F762E" w:rsidRPr="006E7F0C" w:rsidRDefault="009F762E" w:rsidP="00434F2C">
      <w:pPr>
        <w:ind w:left="1260"/>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 xml:space="preserve">Individuals may request the appearance of other individuals who have knowledge of information relevant to the decision the individual is appealing.  The Appeals Panel or its designee shall promptly consider and decide all requests for the appearance </w:t>
      </w:r>
      <w:r w:rsidR="00156DC0" w:rsidRPr="006E7F0C">
        <w:rPr>
          <w:rFonts w:ascii="Garamond" w:hAnsi="Garamond"/>
          <w:sz w:val="22"/>
          <w:szCs w:val="22"/>
        </w:rPr>
        <w:t>of witnesses, considering the wi</w:t>
      </w:r>
      <w:r w:rsidRPr="006E7F0C">
        <w:rPr>
          <w:rFonts w:ascii="Garamond" w:hAnsi="Garamond"/>
          <w:sz w:val="22"/>
          <w:szCs w:val="22"/>
        </w:rPr>
        <w:t xml:space="preserve">tness’s relevance to the decision being appealed or the likelihood that the witness will assist the Appeals Panel in deciding the appeal.  The Appeals Panel or its designee shall notify the individual of its decision in writing. </w:t>
      </w:r>
    </w:p>
    <w:p w:rsidR="009F762E" w:rsidRPr="006E7F0C" w:rsidRDefault="009F762E" w:rsidP="003B6F42">
      <w:pPr>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Individuals may submit no later than three (3) days in advance of the appeal hearing written arguments, evidence and any other information they wish the Appeals Panel to consider in advance of the hearing.</w:t>
      </w:r>
    </w:p>
    <w:p w:rsidR="009F762E" w:rsidRPr="006E7F0C" w:rsidRDefault="009F762E" w:rsidP="00FD2C89">
      <w:pPr>
        <w:ind w:left="1260"/>
        <w:jc w:val="both"/>
        <w:rPr>
          <w:rFonts w:ascii="Garamond" w:hAnsi="Garamond"/>
          <w:sz w:val="22"/>
          <w:szCs w:val="22"/>
        </w:rPr>
      </w:pPr>
    </w:p>
    <w:p w:rsidR="009F762E" w:rsidRPr="006E7F0C" w:rsidRDefault="009F762E" w:rsidP="006E7F0C">
      <w:pPr>
        <w:ind w:left="1260" w:firstLine="180"/>
        <w:jc w:val="both"/>
        <w:rPr>
          <w:rFonts w:ascii="Garamond" w:hAnsi="Garamond"/>
          <w:sz w:val="22"/>
          <w:szCs w:val="22"/>
          <w:u w:val="single"/>
        </w:rPr>
      </w:pPr>
      <w:r w:rsidRPr="006E7F0C">
        <w:rPr>
          <w:rFonts w:ascii="Garamond" w:hAnsi="Garamond"/>
          <w:sz w:val="22"/>
          <w:szCs w:val="22"/>
          <w:u w:val="single"/>
        </w:rPr>
        <w:t xml:space="preserve">At Hearing </w:t>
      </w:r>
    </w:p>
    <w:p w:rsidR="009F762E" w:rsidRPr="006E7F0C" w:rsidRDefault="009F762E" w:rsidP="00FD2C89">
      <w:pPr>
        <w:ind w:left="1260"/>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 xml:space="preserve">Individuals may represent themselves at hearing, or may be represented by an attorney, paralegal or legal assistant, caseworker, care provider, or other person designated by the individual to present the individual’s case. </w:t>
      </w:r>
    </w:p>
    <w:p w:rsidR="009F762E" w:rsidRPr="006E7F0C" w:rsidRDefault="009F762E" w:rsidP="00FD2C89">
      <w:pPr>
        <w:ind w:left="1260"/>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 xml:space="preserve">The parties may present documents and offer other oral, written or recorded information to support their respective positions or to respond to each other’s positions.  GRTA shall </w:t>
      </w:r>
      <w:r w:rsidR="00156DC0" w:rsidRPr="006E7F0C">
        <w:rPr>
          <w:rFonts w:ascii="Garamond" w:hAnsi="Garamond"/>
          <w:sz w:val="22"/>
          <w:szCs w:val="22"/>
        </w:rPr>
        <w:t>present its position first, the</w:t>
      </w:r>
      <w:r w:rsidRPr="006E7F0C">
        <w:rPr>
          <w:rFonts w:ascii="Garamond" w:hAnsi="Garamond"/>
          <w:sz w:val="22"/>
          <w:szCs w:val="22"/>
        </w:rPr>
        <w:t>n the individual m</w:t>
      </w:r>
      <w:r w:rsidR="00156DC0" w:rsidRPr="006E7F0C">
        <w:rPr>
          <w:rFonts w:ascii="Garamond" w:hAnsi="Garamond"/>
          <w:sz w:val="22"/>
          <w:szCs w:val="22"/>
        </w:rPr>
        <w:t>a</w:t>
      </w:r>
      <w:r w:rsidRPr="006E7F0C">
        <w:rPr>
          <w:rFonts w:ascii="Garamond" w:hAnsi="Garamond"/>
          <w:sz w:val="22"/>
          <w:szCs w:val="22"/>
        </w:rPr>
        <w:t xml:space="preserve">y present next.  As required or appropriate, the parties shall be permitted to present additional documents. </w:t>
      </w:r>
    </w:p>
    <w:p w:rsidR="009F762E" w:rsidRPr="006E7F0C" w:rsidRDefault="009F762E" w:rsidP="00FD2C89">
      <w:pPr>
        <w:ind w:left="1260"/>
        <w:jc w:val="both"/>
        <w:rPr>
          <w:rFonts w:ascii="Garamond" w:hAnsi="Garamond"/>
          <w:sz w:val="22"/>
          <w:szCs w:val="22"/>
        </w:rPr>
      </w:pPr>
    </w:p>
    <w:p w:rsidR="009F762E" w:rsidRPr="006E7F0C" w:rsidRDefault="009F762E" w:rsidP="006E7F0C">
      <w:pPr>
        <w:ind w:left="1440"/>
        <w:jc w:val="both"/>
        <w:rPr>
          <w:rFonts w:ascii="Garamond" w:hAnsi="Garamond"/>
          <w:sz w:val="22"/>
          <w:szCs w:val="22"/>
        </w:rPr>
      </w:pPr>
      <w:r w:rsidRPr="006E7F0C">
        <w:rPr>
          <w:rFonts w:ascii="Garamond" w:hAnsi="Garamond"/>
          <w:sz w:val="22"/>
          <w:szCs w:val="22"/>
        </w:rPr>
        <w:t xml:space="preserve">The Appeals Panel may for good cause continue a hearing or permit the post-hearing submission of additional evidence, information and arguments.  If a continuance or post-hearing submission is permitted, the Appeals Panel shall promptly advise the parties of the date, time and location of the continued hearing or the date by which the post-hearing submission must be received by the Appeals Panel. </w:t>
      </w:r>
    </w:p>
    <w:p w:rsidR="00E517D2" w:rsidRPr="006E7F0C" w:rsidRDefault="00E517D2" w:rsidP="00FD2C89">
      <w:pPr>
        <w:ind w:left="1260"/>
        <w:jc w:val="both"/>
        <w:rPr>
          <w:rFonts w:ascii="Garamond" w:hAnsi="Garamond"/>
          <w:sz w:val="22"/>
          <w:szCs w:val="22"/>
        </w:rPr>
      </w:pPr>
    </w:p>
    <w:p w:rsidR="00E517D2" w:rsidRPr="006E7F0C" w:rsidRDefault="009F762E" w:rsidP="006E7F0C">
      <w:pPr>
        <w:ind w:left="1260" w:firstLine="180"/>
        <w:jc w:val="both"/>
        <w:rPr>
          <w:rFonts w:ascii="Garamond" w:hAnsi="Garamond"/>
          <w:sz w:val="22"/>
          <w:szCs w:val="22"/>
        </w:rPr>
      </w:pPr>
      <w:r w:rsidRPr="006E7F0C">
        <w:rPr>
          <w:rFonts w:ascii="Garamond" w:hAnsi="Garamond"/>
          <w:sz w:val="22"/>
          <w:szCs w:val="22"/>
        </w:rPr>
        <w:t xml:space="preserve">The hearing shall be electronically recorded. </w:t>
      </w:r>
    </w:p>
    <w:p w:rsidR="00E517D2" w:rsidRPr="006E7F0C" w:rsidRDefault="00E517D2" w:rsidP="00FD2C89">
      <w:pPr>
        <w:ind w:left="1260"/>
        <w:jc w:val="both"/>
        <w:rPr>
          <w:rFonts w:ascii="Garamond" w:hAnsi="Garamond"/>
          <w:sz w:val="22"/>
          <w:szCs w:val="22"/>
        </w:rPr>
      </w:pPr>
    </w:p>
    <w:p w:rsidR="009F762E" w:rsidRPr="006E7F0C" w:rsidRDefault="009F762E" w:rsidP="006E7F0C">
      <w:pPr>
        <w:ind w:left="1260" w:firstLine="180"/>
        <w:jc w:val="both"/>
        <w:rPr>
          <w:rFonts w:ascii="Garamond" w:hAnsi="Garamond"/>
          <w:sz w:val="22"/>
          <w:szCs w:val="22"/>
        </w:rPr>
      </w:pPr>
      <w:r w:rsidRPr="006E7F0C">
        <w:rPr>
          <w:rFonts w:ascii="Garamond" w:hAnsi="Garamond"/>
          <w:b/>
          <w:sz w:val="22"/>
          <w:szCs w:val="22"/>
          <w:u w:val="single"/>
        </w:rPr>
        <w:t xml:space="preserve">Appeal without Hearing </w:t>
      </w:r>
    </w:p>
    <w:p w:rsidR="009F762E" w:rsidRPr="006E7F0C" w:rsidRDefault="009F762E" w:rsidP="00FD2C89">
      <w:pPr>
        <w:ind w:left="1260"/>
        <w:jc w:val="both"/>
        <w:rPr>
          <w:rFonts w:ascii="Garamond" w:hAnsi="Garamond"/>
          <w:b/>
          <w:sz w:val="22"/>
          <w:szCs w:val="22"/>
          <w:u w:val="single"/>
        </w:rPr>
      </w:pPr>
    </w:p>
    <w:p w:rsidR="005D2A71" w:rsidRPr="006E7F0C" w:rsidRDefault="005D2A71" w:rsidP="006E7F0C">
      <w:pPr>
        <w:ind w:left="1440"/>
        <w:jc w:val="both"/>
        <w:rPr>
          <w:rFonts w:ascii="Garamond" w:hAnsi="Garamond"/>
          <w:sz w:val="22"/>
          <w:szCs w:val="22"/>
        </w:rPr>
      </w:pPr>
      <w:r w:rsidRPr="006E7F0C">
        <w:rPr>
          <w:rFonts w:ascii="Garamond" w:hAnsi="Garamond"/>
          <w:sz w:val="22"/>
          <w:szCs w:val="22"/>
        </w:rPr>
        <w:t xml:space="preserve">If the individual declines an in-person appeal hearing, GRTA staff shall inform the individual of the date by which the individual must submit to GRTA any written materials the individual wishes the Appeals Panel to consider in determining the individual’s appeal.  Extensions of this date may be allowed for good cause.  </w:t>
      </w:r>
    </w:p>
    <w:p w:rsidR="005D2A71" w:rsidRPr="006E7F0C" w:rsidRDefault="005D2A71" w:rsidP="00FD2C89">
      <w:pPr>
        <w:ind w:left="1260"/>
        <w:jc w:val="both"/>
        <w:rPr>
          <w:rFonts w:ascii="Garamond" w:hAnsi="Garamond"/>
          <w:sz w:val="22"/>
          <w:szCs w:val="22"/>
        </w:rPr>
      </w:pPr>
    </w:p>
    <w:p w:rsidR="005D2A71" w:rsidRPr="006E7F0C" w:rsidRDefault="005D2A71" w:rsidP="006E7F0C">
      <w:pPr>
        <w:ind w:left="1440"/>
        <w:jc w:val="both"/>
        <w:rPr>
          <w:rFonts w:ascii="Garamond" w:hAnsi="Garamond"/>
          <w:sz w:val="22"/>
          <w:szCs w:val="22"/>
        </w:rPr>
      </w:pPr>
      <w:r w:rsidRPr="006E7F0C">
        <w:rPr>
          <w:rFonts w:ascii="Garamond" w:hAnsi="Garamond"/>
          <w:sz w:val="22"/>
          <w:szCs w:val="22"/>
        </w:rPr>
        <w:t>Following the submission date, the Appeals Panel shall review the individual’s file and written submissions, if any, and decide the matter.  The Appeal</w:t>
      </w:r>
      <w:r w:rsidR="00156DC0" w:rsidRPr="006E7F0C">
        <w:rPr>
          <w:rFonts w:ascii="Garamond" w:hAnsi="Garamond"/>
          <w:sz w:val="22"/>
          <w:szCs w:val="22"/>
        </w:rPr>
        <w:t>s</w:t>
      </w:r>
      <w:r w:rsidRPr="006E7F0C">
        <w:rPr>
          <w:rFonts w:ascii="Garamond" w:hAnsi="Garamond"/>
          <w:sz w:val="22"/>
          <w:szCs w:val="22"/>
        </w:rPr>
        <w:t xml:space="preserve"> Panel may uphold or overturn the eligibility determination, modify the eligibility determination, impose conditions upon eligibility, or take any other appropriate action to decide the matter. </w:t>
      </w:r>
    </w:p>
    <w:p w:rsidR="005D2A71" w:rsidRPr="006E7F0C" w:rsidRDefault="005D2A71" w:rsidP="00FD2C89">
      <w:pPr>
        <w:ind w:left="1260"/>
        <w:jc w:val="both"/>
        <w:rPr>
          <w:rFonts w:ascii="Garamond" w:hAnsi="Garamond"/>
          <w:sz w:val="22"/>
          <w:szCs w:val="22"/>
        </w:rPr>
      </w:pPr>
    </w:p>
    <w:p w:rsidR="005D2A71" w:rsidRPr="006E7F0C" w:rsidRDefault="005D2A71" w:rsidP="006E7F0C">
      <w:pPr>
        <w:ind w:left="1260" w:firstLine="180"/>
        <w:jc w:val="both"/>
        <w:rPr>
          <w:rFonts w:ascii="Garamond" w:hAnsi="Garamond"/>
          <w:b/>
          <w:sz w:val="22"/>
          <w:szCs w:val="22"/>
          <w:u w:val="single"/>
        </w:rPr>
      </w:pPr>
      <w:r w:rsidRPr="006E7F0C">
        <w:rPr>
          <w:rFonts w:ascii="Garamond" w:hAnsi="Garamond"/>
          <w:b/>
          <w:sz w:val="22"/>
          <w:szCs w:val="22"/>
          <w:u w:val="single"/>
        </w:rPr>
        <w:t>Evidentiary Burden and Standard</w:t>
      </w:r>
    </w:p>
    <w:p w:rsidR="005D2A71" w:rsidRPr="006E7F0C" w:rsidRDefault="005D2A71" w:rsidP="00FD2C89">
      <w:pPr>
        <w:ind w:left="1260"/>
        <w:jc w:val="both"/>
        <w:rPr>
          <w:rFonts w:ascii="Garamond" w:hAnsi="Garamond"/>
          <w:b/>
          <w:sz w:val="22"/>
          <w:szCs w:val="22"/>
          <w:u w:val="single"/>
        </w:rPr>
      </w:pPr>
    </w:p>
    <w:p w:rsidR="005D2A71" w:rsidRPr="006E7F0C" w:rsidRDefault="005D2A71" w:rsidP="006E7F0C">
      <w:pPr>
        <w:ind w:left="1440"/>
        <w:jc w:val="both"/>
        <w:rPr>
          <w:rFonts w:ascii="Garamond" w:hAnsi="Garamond"/>
          <w:sz w:val="22"/>
          <w:szCs w:val="22"/>
        </w:rPr>
      </w:pPr>
      <w:r w:rsidRPr="006E7F0C">
        <w:rPr>
          <w:rFonts w:ascii="Garamond" w:hAnsi="Garamond"/>
          <w:sz w:val="22"/>
          <w:szCs w:val="22"/>
        </w:rPr>
        <w:t>GRTA shall have the burden of dem</w:t>
      </w:r>
      <w:r w:rsidR="00156DC0" w:rsidRPr="006E7F0C">
        <w:rPr>
          <w:rFonts w:ascii="Garamond" w:hAnsi="Garamond"/>
          <w:sz w:val="22"/>
          <w:szCs w:val="22"/>
        </w:rPr>
        <w:t>onstrating that the individual’s</w:t>
      </w:r>
      <w:r w:rsidRPr="006E7F0C">
        <w:rPr>
          <w:rFonts w:ascii="Garamond" w:hAnsi="Garamond"/>
          <w:sz w:val="22"/>
          <w:szCs w:val="22"/>
        </w:rPr>
        <w:t xml:space="preserve"> eligibility for paratransit service was appropriately determined.  This burden must be satisfied by a preponderance of all the evidence submitted in connection with the appeal or otherwise in the customer’s record.  The stand</w:t>
      </w:r>
      <w:r w:rsidR="00156DC0" w:rsidRPr="006E7F0C">
        <w:rPr>
          <w:rFonts w:ascii="Garamond" w:hAnsi="Garamond"/>
          <w:sz w:val="22"/>
          <w:szCs w:val="22"/>
        </w:rPr>
        <w:t>ard</w:t>
      </w:r>
      <w:r w:rsidRPr="006E7F0C">
        <w:rPr>
          <w:rFonts w:ascii="Garamond" w:hAnsi="Garamond"/>
          <w:sz w:val="22"/>
          <w:szCs w:val="22"/>
        </w:rPr>
        <w:t xml:space="preserve"> of admissibility for evidence and information presented in connection with an </w:t>
      </w:r>
      <w:r w:rsidRPr="006E7F0C">
        <w:rPr>
          <w:rFonts w:ascii="Garamond" w:hAnsi="Garamond"/>
          <w:sz w:val="22"/>
          <w:szCs w:val="22"/>
        </w:rPr>
        <w:lastRenderedPageBreak/>
        <w:t xml:space="preserve">appeal shall be whether the evidence or information is of the type that a reasonable person would rely upon in making decisions about their personal affairs.  </w:t>
      </w:r>
    </w:p>
    <w:p w:rsidR="005D2A71" w:rsidRPr="006E7F0C" w:rsidRDefault="005D2A71" w:rsidP="00FD2C89">
      <w:pPr>
        <w:ind w:left="1260"/>
        <w:jc w:val="both"/>
        <w:rPr>
          <w:rFonts w:ascii="Garamond" w:hAnsi="Garamond"/>
          <w:sz w:val="22"/>
          <w:szCs w:val="22"/>
        </w:rPr>
      </w:pPr>
    </w:p>
    <w:p w:rsidR="005D2A71" w:rsidRPr="006E7F0C" w:rsidRDefault="005D2A71" w:rsidP="006E7F0C">
      <w:pPr>
        <w:ind w:left="1260" w:firstLine="180"/>
        <w:jc w:val="both"/>
        <w:rPr>
          <w:rFonts w:ascii="Garamond" w:hAnsi="Garamond"/>
          <w:b/>
          <w:sz w:val="22"/>
          <w:szCs w:val="22"/>
          <w:u w:val="single"/>
        </w:rPr>
      </w:pPr>
      <w:r w:rsidRPr="006E7F0C">
        <w:rPr>
          <w:rFonts w:ascii="Garamond" w:hAnsi="Garamond"/>
          <w:b/>
          <w:sz w:val="22"/>
          <w:szCs w:val="22"/>
          <w:u w:val="single"/>
        </w:rPr>
        <w:t>Notification of Decision</w:t>
      </w:r>
    </w:p>
    <w:p w:rsidR="005D2A71" w:rsidRPr="006E7F0C" w:rsidRDefault="005D2A71" w:rsidP="00FD2C89">
      <w:pPr>
        <w:ind w:left="1260"/>
        <w:jc w:val="both"/>
        <w:rPr>
          <w:rFonts w:ascii="Garamond" w:hAnsi="Garamond"/>
          <w:sz w:val="22"/>
          <w:szCs w:val="22"/>
        </w:rPr>
      </w:pPr>
    </w:p>
    <w:p w:rsidR="005D2A71" w:rsidRPr="006E7F0C" w:rsidRDefault="005D2A71" w:rsidP="006E7F0C">
      <w:pPr>
        <w:ind w:left="1440"/>
        <w:jc w:val="both"/>
        <w:rPr>
          <w:rFonts w:ascii="Garamond" w:hAnsi="Garamond"/>
          <w:sz w:val="22"/>
          <w:szCs w:val="22"/>
        </w:rPr>
      </w:pPr>
      <w:r w:rsidRPr="006E7F0C">
        <w:rPr>
          <w:rFonts w:ascii="Garamond" w:hAnsi="Garamond"/>
          <w:sz w:val="22"/>
          <w:szCs w:val="22"/>
        </w:rPr>
        <w:t xml:space="preserve">The Appeals Panel shall notify the individual of its decision and the reasons for its decision in writing, within thirty (30) days of the date of the appeal hearing or, if the individual declined hearing, of the date on which the Appeals Panel reviewed and considered the matter. </w:t>
      </w:r>
    </w:p>
    <w:p w:rsidR="005D2A71" w:rsidRPr="006E7F0C" w:rsidRDefault="005D2A71" w:rsidP="00FD2C89">
      <w:pPr>
        <w:ind w:left="1260"/>
        <w:jc w:val="both"/>
        <w:rPr>
          <w:rFonts w:ascii="Garamond" w:hAnsi="Garamond"/>
          <w:sz w:val="22"/>
          <w:szCs w:val="22"/>
        </w:rPr>
      </w:pPr>
    </w:p>
    <w:p w:rsidR="005D2A71" w:rsidRDefault="005D2A71" w:rsidP="006E7F0C">
      <w:pPr>
        <w:ind w:left="1440"/>
        <w:jc w:val="both"/>
        <w:rPr>
          <w:rFonts w:ascii="Garamond" w:hAnsi="Garamond"/>
          <w:sz w:val="22"/>
          <w:szCs w:val="22"/>
        </w:rPr>
      </w:pPr>
      <w:r w:rsidRPr="006E7F0C">
        <w:rPr>
          <w:rFonts w:ascii="Garamond" w:hAnsi="Garamond"/>
          <w:sz w:val="22"/>
          <w:szCs w:val="22"/>
        </w:rPr>
        <w:t>If no decision is made on an appeal of eligibility determination within thirty (30) days of the date of the appeal hearing or date of appeals panel consideration, the individual will be eligible for GRTA paratransit service as of the 31</w:t>
      </w:r>
      <w:r w:rsidRPr="006E7F0C">
        <w:rPr>
          <w:rFonts w:ascii="Garamond" w:hAnsi="Garamond"/>
          <w:sz w:val="22"/>
          <w:szCs w:val="22"/>
          <w:vertAlign w:val="superscript"/>
        </w:rPr>
        <w:t>st</w:t>
      </w:r>
      <w:r w:rsidRPr="006E7F0C">
        <w:rPr>
          <w:rFonts w:ascii="Garamond" w:hAnsi="Garamond"/>
          <w:sz w:val="22"/>
          <w:szCs w:val="22"/>
        </w:rPr>
        <w:t xml:space="preserve"> day, until and unless a decision otherwise is rendered by the </w:t>
      </w:r>
      <w:r w:rsidR="00156DC0" w:rsidRPr="006E7F0C">
        <w:rPr>
          <w:rFonts w:ascii="Garamond" w:hAnsi="Garamond"/>
          <w:sz w:val="22"/>
          <w:szCs w:val="22"/>
        </w:rPr>
        <w:t xml:space="preserve">Appeals </w:t>
      </w:r>
      <w:r w:rsidRPr="006E7F0C">
        <w:rPr>
          <w:rFonts w:ascii="Garamond" w:hAnsi="Garamond"/>
          <w:sz w:val="22"/>
          <w:szCs w:val="22"/>
        </w:rPr>
        <w:t xml:space="preserve">Panel. </w:t>
      </w:r>
    </w:p>
    <w:p w:rsidR="006E7F0C" w:rsidRDefault="006E7F0C" w:rsidP="00FD2C89">
      <w:pPr>
        <w:ind w:left="1260"/>
        <w:jc w:val="both"/>
        <w:rPr>
          <w:rFonts w:ascii="Garamond" w:hAnsi="Garamond"/>
          <w:sz w:val="22"/>
          <w:szCs w:val="22"/>
        </w:rPr>
      </w:pPr>
    </w:p>
    <w:p w:rsidR="006E7F0C" w:rsidRDefault="006E7F0C" w:rsidP="00FD2C89">
      <w:pPr>
        <w:ind w:left="1260"/>
        <w:jc w:val="both"/>
        <w:rPr>
          <w:rFonts w:ascii="Garamond" w:hAnsi="Garamond"/>
          <w:sz w:val="22"/>
          <w:szCs w:val="22"/>
        </w:rPr>
      </w:pPr>
    </w:p>
    <w:p w:rsidR="006E7F0C" w:rsidRPr="006E7F0C" w:rsidRDefault="006E7F0C" w:rsidP="00FD2C89">
      <w:pPr>
        <w:ind w:left="1260"/>
        <w:jc w:val="both"/>
        <w:rPr>
          <w:rFonts w:ascii="Garamond" w:hAnsi="Garamond"/>
          <w:sz w:val="22"/>
          <w:szCs w:val="22"/>
        </w:rPr>
      </w:pPr>
    </w:p>
    <w:p w:rsidR="006E7F0C" w:rsidRPr="006E7F0C" w:rsidRDefault="006E7F0C" w:rsidP="006E7F0C">
      <w:pPr>
        <w:jc w:val="both"/>
        <w:rPr>
          <w:rFonts w:ascii="Garamond" w:hAnsi="Garamond"/>
          <w:sz w:val="22"/>
          <w:szCs w:val="22"/>
        </w:rPr>
      </w:pPr>
      <w:r w:rsidRPr="006E7F0C">
        <w:rPr>
          <w:rFonts w:ascii="Garamond" w:hAnsi="Garamond"/>
          <w:b/>
          <w:sz w:val="22"/>
          <w:szCs w:val="22"/>
          <w:u w:val="single"/>
        </w:rPr>
        <w:t>Effective Date:</w:t>
      </w:r>
      <w:r w:rsidRPr="006E7F0C">
        <w:rPr>
          <w:rFonts w:ascii="Garamond" w:hAnsi="Garamond"/>
          <w:sz w:val="22"/>
          <w:szCs w:val="22"/>
        </w:rPr>
        <w:t xml:space="preserve"> </w:t>
      </w:r>
      <w:r w:rsidR="00581247">
        <w:rPr>
          <w:rFonts w:ascii="Garamond" w:hAnsi="Garamond"/>
          <w:sz w:val="22"/>
          <w:szCs w:val="22"/>
        </w:rPr>
        <w:t>July 19, 2017</w:t>
      </w:r>
    </w:p>
    <w:p w:rsidR="006E7F0C" w:rsidRDefault="006E7F0C" w:rsidP="006E7F0C">
      <w:pPr>
        <w:jc w:val="both"/>
        <w:rPr>
          <w:rFonts w:ascii="Garamond" w:hAnsi="Garamond"/>
          <w:sz w:val="22"/>
          <w:szCs w:val="22"/>
        </w:rPr>
      </w:pPr>
    </w:p>
    <w:p w:rsidR="006E7F0C" w:rsidRDefault="006E7F0C" w:rsidP="006E7F0C">
      <w:pPr>
        <w:jc w:val="both"/>
        <w:rPr>
          <w:rFonts w:ascii="Garamond" w:hAnsi="Garamond"/>
          <w:sz w:val="22"/>
          <w:szCs w:val="22"/>
        </w:rPr>
      </w:pPr>
    </w:p>
    <w:p w:rsidR="006E7F0C" w:rsidRDefault="006E7F0C" w:rsidP="006E7F0C">
      <w:pPr>
        <w:jc w:val="both"/>
        <w:rPr>
          <w:rFonts w:ascii="Garamond" w:hAnsi="Garamond"/>
          <w:sz w:val="22"/>
          <w:szCs w:val="22"/>
        </w:rPr>
      </w:pPr>
    </w:p>
    <w:p w:rsidR="006E7F0C" w:rsidRPr="006E7F0C" w:rsidRDefault="006E7F0C" w:rsidP="006E7F0C">
      <w:pPr>
        <w:jc w:val="both"/>
        <w:rPr>
          <w:rFonts w:ascii="Garamond" w:hAnsi="Garamond"/>
          <w:sz w:val="22"/>
          <w:szCs w:val="22"/>
        </w:rPr>
      </w:pPr>
    </w:p>
    <w:p w:rsidR="006E7F0C" w:rsidRPr="00EE2BCF" w:rsidRDefault="006E7F0C" w:rsidP="006E7F0C">
      <w:pPr>
        <w:jc w:val="both"/>
        <w:rPr>
          <w:rFonts w:ascii="Garamond" w:hAnsi="Garamond"/>
          <w:b/>
          <w:sz w:val="22"/>
          <w:szCs w:val="22"/>
        </w:rPr>
      </w:pPr>
      <w:r w:rsidRPr="006E7F0C">
        <w:rPr>
          <w:rFonts w:ascii="Garamond" w:hAnsi="Garamond"/>
          <w:b/>
          <w:sz w:val="22"/>
          <w:szCs w:val="22"/>
          <w:u w:val="single"/>
        </w:rPr>
        <w:t>Approved By:</w:t>
      </w:r>
      <w:r w:rsidRPr="006E7F0C">
        <w:rPr>
          <w:rFonts w:ascii="Garamond" w:hAnsi="Garamond"/>
          <w:sz w:val="22"/>
          <w:szCs w:val="22"/>
        </w:rPr>
        <w:t xml:space="preserve">   </w:t>
      </w:r>
      <w:r w:rsidR="004F26FB" w:rsidRPr="00EE2BCF">
        <w:rPr>
          <w:rFonts w:ascii="Garamond" w:hAnsi="Garamond"/>
          <w:b/>
          <w:sz w:val="22"/>
          <w:szCs w:val="22"/>
          <w:u w:val="single"/>
        </w:rPr>
        <w:t xml:space="preserve">          </w:t>
      </w:r>
      <w:r w:rsidR="00EE2BCF" w:rsidRPr="00EE2BCF">
        <w:rPr>
          <w:rFonts w:ascii="Garamond" w:hAnsi="Garamond"/>
          <w:b/>
          <w:sz w:val="22"/>
          <w:szCs w:val="22"/>
          <w:u w:val="single"/>
        </w:rPr>
        <w:t xml:space="preserve">     /S/</w:t>
      </w:r>
      <w:r w:rsidR="004F26FB" w:rsidRPr="00EE2BCF">
        <w:rPr>
          <w:rFonts w:ascii="Garamond" w:hAnsi="Garamond"/>
          <w:b/>
          <w:sz w:val="22"/>
          <w:szCs w:val="22"/>
          <w:u w:val="single"/>
        </w:rPr>
        <w:t xml:space="preserve">       _______       </w:t>
      </w:r>
    </w:p>
    <w:p w:rsidR="000D4C41" w:rsidRPr="006E7F0C" w:rsidRDefault="006E7F0C" w:rsidP="006E7F0C">
      <w:pPr>
        <w:ind w:left="1260" w:firstLine="180"/>
        <w:jc w:val="both"/>
        <w:rPr>
          <w:rFonts w:ascii="Garamond" w:hAnsi="Garamond"/>
          <w:b/>
          <w:sz w:val="22"/>
          <w:szCs w:val="22"/>
        </w:rPr>
      </w:pPr>
      <w:r w:rsidRPr="006E7F0C">
        <w:rPr>
          <w:rFonts w:ascii="Garamond" w:hAnsi="Garamond"/>
          <w:b/>
          <w:sz w:val="22"/>
          <w:szCs w:val="22"/>
        </w:rPr>
        <w:t>ENRIQUE AGUSTIN</w:t>
      </w:r>
    </w:p>
    <w:p w:rsidR="006E7F0C" w:rsidRPr="006E7F0C" w:rsidRDefault="006E7F0C" w:rsidP="006E7F0C">
      <w:pPr>
        <w:ind w:left="1260" w:firstLine="180"/>
        <w:jc w:val="both"/>
        <w:rPr>
          <w:rFonts w:ascii="Garamond" w:hAnsi="Garamond"/>
          <w:sz w:val="22"/>
          <w:szCs w:val="22"/>
        </w:rPr>
      </w:pPr>
      <w:r w:rsidRPr="006E7F0C">
        <w:rPr>
          <w:rFonts w:ascii="Garamond" w:hAnsi="Garamond"/>
          <w:sz w:val="22"/>
          <w:szCs w:val="22"/>
        </w:rPr>
        <w:t>GRTA’s Executive Manager</w:t>
      </w:r>
    </w:p>
    <w:p w:rsidR="003B6F42" w:rsidRPr="006E7F0C" w:rsidRDefault="003B6F42" w:rsidP="00FD2C89">
      <w:pPr>
        <w:ind w:left="1260"/>
        <w:jc w:val="both"/>
        <w:rPr>
          <w:rFonts w:ascii="Garamond" w:hAnsi="Garamond"/>
          <w:color w:val="FF0000"/>
          <w:sz w:val="22"/>
          <w:szCs w:val="22"/>
        </w:rPr>
      </w:pPr>
      <w:bookmarkStart w:id="0" w:name="_GoBack"/>
      <w:bookmarkEnd w:id="0"/>
    </w:p>
    <w:sectPr w:rsidR="003B6F42" w:rsidRPr="006E7F0C" w:rsidSect="00E517D2">
      <w:footerReference w:type="default" r:id="rId9"/>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015A" w:rsidRDefault="00E1015A">
      <w:r>
        <w:separator/>
      </w:r>
    </w:p>
  </w:endnote>
  <w:endnote w:type="continuationSeparator" w:id="0">
    <w:p w:rsidR="00E1015A" w:rsidRDefault="00E10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0"/>
        <w:szCs w:val="20"/>
      </w:rPr>
      <w:id w:val="-894958464"/>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D32415" w:rsidRPr="0047727B" w:rsidRDefault="00D32415">
            <w:pPr>
              <w:pStyle w:val="Footer"/>
              <w:jc w:val="right"/>
              <w:rPr>
                <w:sz w:val="20"/>
                <w:szCs w:val="20"/>
              </w:rPr>
            </w:pPr>
            <w:r w:rsidRPr="0047727B">
              <w:rPr>
                <w:sz w:val="20"/>
                <w:szCs w:val="20"/>
              </w:rPr>
              <w:t xml:space="preserve">Page </w:t>
            </w:r>
            <w:r w:rsidRPr="0047727B">
              <w:rPr>
                <w:b/>
                <w:bCs/>
                <w:sz w:val="20"/>
                <w:szCs w:val="20"/>
              </w:rPr>
              <w:fldChar w:fldCharType="begin"/>
            </w:r>
            <w:r w:rsidRPr="0047727B">
              <w:rPr>
                <w:b/>
                <w:bCs/>
                <w:sz w:val="20"/>
                <w:szCs w:val="20"/>
              </w:rPr>
              <w:instrText xml:space="preserve"> PAGE </w:instrText>
            </w:r>
            <w:r w:rsidRPr="0047727B">
              <w:rPr>
                <w:b/>
                <w:bCs/>
                <w:sz w:val="20"/>
                <w:szCs w:val="20"/>
              </w:rPr>
              <w:fldChar w:fldCharType="separate"/>
            </w:r>
            <w:r w:rsidR="00EE2BCF">
              <w:rPr>
                <w:b/>
                <w:bCs/>
                <w:noProof/>
                <w:sz w:val="20"/>
                <w:szCs w:val="20"/>
              </w:rPr>
              <w:t>3</w:t>
            </w:r>
            <w:r w:rsidRPr="0047727B">
              <w:rPr>
                <w:b/>
                <w:bCs/>
                <w:sz w:val="20"/>
                <w:szCs w:val="20"/>
              </w:rPr>
              <w:fldChar w:fldCharType="end"/>
            </w:r>
            <w:r w:rsidRPr="0047727B">
              <w:rPr>
                <w:sz w:val="20"/>
                <w:szCs w:val="20"/>
              </w:rPr>
              <w:t xml:space="preserve"> of </w:t>
            </w:r>
            <w:r w:rsidRPr="0047727B">
              <w:rPr>
                <w:b/>
                <w:bCs/>
                <w:sz w:val="20"/>
                <w:szCs w:val="20"/>
              </w:rPr>
              <w:fldChar w:fldCharType="begin"/>
            </w:r>
            <w:r w:rsidRPr="0047727B">
              <w:rPr>
                <w:b/>
                <w:bCs/>
                <w:sz w:val="20"/>
                <w:szCs w:val="20"/>
              </w:rPr>
              <w:instrText xml:space="preserve"> NUMPAGES  </w:instrText>
            </w:r>
            <w:r w:rsidRPr="0047727B">
              <w:rPr>
                <w:b/>
                <w:bCs/>
                <w:sz w:val="20"/>
                <w:szCs w:val="20"/>
              </w:rPr>
              <w:fldChar w:fldCharType="separate"/>
            </w:r>
            <w:r w:rsidR="00EE2BCF">
              <w:rPr>
                <w:b/>
                <w:bCs/>
                <w:noProof/>
                <w:sz w:val="20"/>
                <w:szCs w:val="20"/>
              </w:rPr>
              <w:t>3</w:t>
            </w:r>
            <w:r w:rsidRPr="0047727B">
              <w:rPr>
                <w:b/>
                <w:bCs/>
                <w:sz w:val="20"/>
                <w:szCs w:val="20"/>
              </w:rPr>
              <w:fldChar w:fldCharType="end"/>
            </w:r>
          </w:p>
        </w:sdtContent>
      </w:sdt>
    </w:sdtContent>
  </w:sdt>
  <w:p w:rsidR="00C17EEA" w:rsidRPr="0047727B" w:rsidRDefault="00C17EEA" w:rsidP="005D2A71">
    <w:pPr>
      <w:pStyle w:val="Footer"/>
      <w:jc w:val="center"/>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015A" w:rsidRDefault="00E1015A">
      <w:r>
        <w:separator/>
      </w:r>
    </w:p>
  </w:footnote>
  <w:footnote w:type="continuationSeparator" w:id="0">
    <w:p w:rsidR="00E1015A" w:rsidRDefault="00E101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E9D116B"/>
    <w:multiLevelType w:val="hybridMultilevel"/>
    <w:tmpl w:val="7DDA9782"/>
    <w:lvl w:ilvl="0" w:tplc="B35EA954">
      <w:start w:val="67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62E"/>
    <w:rsid w:val="000956BD"/>
    <w:rsid w:val="000C7730"/>
    <w:rsid w:val="000D4C41"/>
    <w:rsid w:val="00156DC0"/>
    <w:rsid w:val="00242944"/>
    <w:rsid w:val="002C79FC"/>
    <w:rsid w:val="002E0A8D"/>
    <w:rsid w:val="002E672E"/>
    <w:rsid w:val="00365578"/>
    <w:rsid w:val="003B6F42"/>
    <w:rsid w:val="00434F2C"/>
    <w:rsid w:val="00460F03"/>
    <w:rsid w:val="0047727B"/>
    <w:rsid w:val="004A204D"/>
    <w:rsid w:val="004F26FB"/>
    <w:rsid w:val="00581247"/>
    <w:rsid w:val="005D2A71"/>
    <w:rsid w:val="00603BEB"/>
    <w:rsid w:val="006E7F0C"/>
    <w:rsid w:val="008B50AC"/>
    <w:rsid w:val="009013C3"/>
    <w:rsid w:val="00903414"/>
    <w:rsid w:val="00967C5D"/>
    <w:rsid w:val="009F762E"/>
    <w:rsid w:val="00AC36C2"/>
    <w:rsid w:val="00AF36AC"/>
    <w:rsid w:val="00B30578"/>
    <w:rsid w:val="00BB4B59"/>
    <w:rsid w:val="00BF0F88"/>
    <w:rsid w:val="00BF2949"/>
    <w:rsid w:val="00C17EEA"/>
    <w:rsid w:val="00C2455D"/>
    <w:rsid w:val="00C41877"/>
    <w:rsid w:val="00D2035D"/>
    <w:rsid w:val="00D32415"/>
    <w:rsid w:val="00D80E4B"/>
    <w:rsid w:val="00D82554"/>
    <w:rsid w:val="00DB13C9"/>
    <w:rsid w:val="00DF284E"/>
    <w:rsid w:val="00E1015A"/>
    <w:rsid w:val="00E517D2"/>
    <w:rsid w:val="00E7649F"/>
    <w:rsid w:val="00EB15FC"/>
    <w:rsid w:val="00ED21A8"/>
    <w:rsid w:val="00EE2BCF"/>
    <w:rsid w:val="00F107F2"/>
    <w:rsid w:val="00FD2C89"/>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B30DBB6-74DD-40D6-9844-49B326262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5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A71"/>
    <w:pPr>
      <w:tabs>
        <w:tab w:val="center" w:pos="4320"/>
        <w:tab w:val="right" w:pos="8640"/>
      </w:tabs>
    </w:pPr>
  </w:style>
  <w:style w:type="character" w:customStyle="1" w:styleId="HeaderChar">
    <w:name w:val="Header Char"/>
    <w:basedOn w:val="DefaultParagraphFont"/>
    <w:link w:val="Header"/>
    <w:uiPriority w:val="99"/>
    <w:rsid w:val="005D2A71"/>
  </w:style>
  <w:style w:type="paragraph" w:styleId="Footer">
    <w:name w:val="footer"/>
    <w:basedOn w:val="Normal"/>
    <w:link w:val="FooterChar"/>
    <w:uiPriority w:val="99"/>
    <w:unhideWhenUsed/>
    <w:rsid w:val="005D2A71"/>
    <w:pPr>
      <w:tabs>
        <w:tab w:val="center" w:pos="4320"/>
        <w:tab w:val="right" w:pos="8640"/>
      </w:tabs>
    </w:pPr>
  </w:style>
  <w:style w:type="character" w:customStyle="1" w:styleId="FooterChar">
    <w:name w:val="Footer Char"/>
    <w:basedOn w:val="DefaultParagraphFont"/>
    <w:link w:val="Footer"/>
    <w:uiPriority w:val="99"/>
    <w:rsid w:val="005D2A71"/>
  </w:style>
  <w:style w:type="character" w:styleId="PageNumber">
    <w:name w:val="page number"/>
    <w:basedOn w:val="DefaultParagraphFont"/>
    <w:uiPriority w:val="99"/>
    <w:semiHidden/>
    <w:unhideWhenUsed/>
    <w:rsid w:val="005D2A71"/>
  </w:style>
  <w:style w:type="paragraph" w:styleId="ListParagraph">
    <w:name w:val="List Paragraph"/>
    <w:basedOn w:val="Normal"/>
    <w:uiPriority w:val="34"/>
    <w:qFormat/>
    <w:rsid w:val="00E7649F"/>
    <w:pPr>
      <w:ind w:left="720"/>
      <w:contextualSpacing/>
    </w:pPr>
  </w:style>
  <w:style w:type="paragraph" w:styleId="BalloonText">
    <w:name w:val="Balloon Text"/>
    <w:basedOn w:val="Normal"/>
    <w:link w:val="BalloonTextChar"/>
    <w:uiPriority w:val="99"/>
    <w:semiHidden/>
    <w:unhideWhenUsed/>
    <w:rsid w:val="005812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24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943</Words>
  <Characters>5381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UOG Cedders</Company>
  <LinksUpToDate>false</LinksUpToDate>
  <CharactersWithSpaces>6312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GRTA</dc:creator>
  <cp:lastModifiedBy>USER</cp:lastModifiedBy>
  <cp:revision>2</cp:revision>
  <cp:lastPrinted>2017-07-19T01:10:00Z</cp:lastPrinted>
  <dcterms:created xsi:type="dcterms:W3CDTF">2017-07-20T01:56:00Z</dcterms:created>
  <dcterms:modified xsi:type="dcterms:W3CDTF">2017-07-20T01:56:00Z</dcterms:modified>
</cp:coreProperties>
</file>